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400" w:rsidRDefault="002C2400">
      <w:pPr>
        <w:pStyle w:val="ConsPlusNormal"/>
        <w:jc w:val="right"/>
        <w:outlineLvl w:val="0"/>
      </w:pPr>
      <w:r>
        <w:t>Приложение N 67</w:t>
      </w:r>
    </w:p>
    <w:p w:rsidR="002C2400" w:rsidRDefault="002C2400">
      <w:pPr>
        <w:pStyle w:val="ConsPlusNormal"/>
        <w:jc w:val="right"/>
      </w:pPr>
      <w:r>
        <w:t>к Программе</w:t>
      </w:r>
    </w:p>
    <w:p w:rsidR="002C2400" w:rsidRDefault="002C2400">
      <w:pPr>
        <w:pStyle w:val="ConsPlusNormal"/>
        <w:jc w:val="both"/>
      </w:pPr>
    </w:p>
    <w:p w:rsidR="002C2400" w:rsidRDefault="002C2400">
      <w:pPr>
        <w:pStyle w:val="ConsPlusTitle"/>
        <w:jc w:val="center"/>
      </w:pPr>
      <w:r>
        <w:t>ПРАВИЛА</w:t>
      </w:r>
    </w:p>
    <w:p w:rsidR="002C2400" w:rsidRDefault="002C2400">
      <w:pPr>
        <w:pStyle w:val="ConsPlusTitle"/>
        <w:jc w:val="center"/>
      </w:pPr>
      <w:r>
        <w:t xml:space="preserve">ПРЕДОСТАВЛЕНИЯ И РАСПРЕДЕЛЕНИЯ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2C2400" w:rsidRDefault="002C2400">
      <w:pPr>
        <w:pStyle w:val="ConsPlusTitle"/>
        <w:jc w:val="center"/>
      </w:pPr>
      <w:r>
        <w:t>БЮДЖЕТА МЕСТНЫМ БЮДЖЕТАМ МУРМАНСКОЙ ОБЛАСТИ</w:t>
      </w:r>
    </w:p>
    <w:p w:rsidR="002C2400" w:rsidRDefault="002C2400">
      <w:pPr>
        <w:pStyle w:val="ConsPlusTitle"/>
        <w:jc w:val="center"/>
      </w:pPr>
      <w:r>
        <w:t>НА СОФИНАНСИРОВАНИЕ МЕРОПРИЯТИЙ ПО ПРОВЕДЕНИЮ РЕМОНТНЫХ</w:t>
      </w:r>
    </w:p>
    <w:p w:rsidR="002C2400" w:rsidRDefault="002C2400">
      <w:pPr>
        <w:pStyle w:val="ConsPlusTitle"/>
        <w:jc w:val="center"/>
      </w:pPr>
      <w:r>
        <w:t>РАБОТ В ПУСТУЮЩИХ ЖИЛЫХ ПОМЕЩЕНИЯХ ЗА СЧЕТ СРЕДСТВ</w:t>
      </w:r>
    </w:p>
    <w:p w:rsidR="002C2400" w:rsidRDefault="002C2400">
      <w:pPr>
        <w:pStyle w:val="ConsPlusTitle"/>
        <w:jc w:val="center"/>
      </w:pPr>
      <w:r>
        <w:t>РЕЗЕРВНОГО ФОНДА ПРАВИТЕЛЬСТВА МУРМАНСКОЙ ОБЛАСТИ</w:t>
      </w:r>
    </w:p>
    <w:p w:rsidR="002C2400" w:rsidRDefault="002C240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C240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C2400" w:rsidRDefault="002C240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2400" w:rsidRDefault="002C240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C2400" w:rsidRDefault="002C240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C2400" w:rsidRDefault="002C240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(введены </w:t>
            </w:r>
            <w:hyperlink r:id="rId5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2C2400" w:rsidRDefault="002C2400">
            <w:pPr>
              <w:pStyle w:val="ConsPlusNormal"/>
              <w:jc w:val="center"/>
            </w:pPr>
            <w:r>
              <w:rPr>
                <w:color w:val="392C69"/>
              </w:rPr>
              <w:t>от 20.02.2023 N 142-ПП)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2400" w:rsidRDefault="002C2400">
            <w:pPr>
              <w:pStyle w:val="ConsPlusNormal"/>
            </w:pPr>
          </w:p>
        </w:tc>
      </w:tr>
    </w:tbl>
    <w:p w:rsidR="002C2400" w:rsidRDefault="002C2400">
      <w:pPr>
        <w:pStyle w:val="ConsPlusNormal"/>
        <w:jc w:val="both"/>
      </w:pPr>
    </w:p>
    <w:p w:rsidR="002C2400" w:rsidRDefault="002C2400">
      <w:pPr>
        <w:pStyle w:val="ConsPlusNormal"/>
        <w:ind w:firstLine="540"/>
        <w:jc w:val="both"/>
      </w:pPr>
      <w:r>
        <w:t>1. Настоящие Правила определяют порядок, цели и условия предоставления и распределения субсидии из областного бюджета местным бюджетам Мурманской области на софинансирование мероприятий по проведению ремонтных работ в пустующих жилых помещениях за счет средств резервного фонда Правительства Мурманской области (далее - Правила, субсидия, мероприятие).</w:t>
      </w:r>
    </w:p>
    <w:p w:rsidR="002C2400" w:rsidRDefault="002C2400">
      <w:pPr>
        <w:pStyle w:val="ConsPlusNormal"/>
        <w:spacing w:before="220"/>
        <w:ind w:firstLine="540"/>
        <w:jc w:val="both"/>
      </w:pPr>
      <w:bookmarkStart w:id="0" w:name="P14"/>
      <w:bookmarkEnd w:id="0"/>
      <w:r>
        <w:t>2. Субсидия предоставляется Министерством строительства Мурманской области (далее - Министерство)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ремонту пустующих жилых помещений муниципального жилищного фонда в рамках реализации муниципальных программ.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3. Субсидия предоставляется за счет средств, выделяемых из резервного фонда Правительства Мурманской области.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4. Критерием отбора муниципальных образований для предоставления субсидии является наличие на территории муниципального образования пустующего муниципального жилищного фонда, требующего проведения ремонтных работ.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5. Субсидия предоставляется бюджету муниципального образования при соблюдении следующих условий:</w:t>
      </w:r>
    </w:p>
    <w:p w:rsidR="002C2400" w:rsidRDefault="002C2400">
      <w:pPr>
        <w:pStyle w:val="ConsPlusNormal"/>
        <w:spacing w:before="220"/>
        <w:ind w:firstLine="540"/>
        <w:jc w:val="both"/>
      </w:pPr>
      <w:proofErr w:type="gramStart"/>
      <w:r>
        <w:t>а) наличие правовых актов муниципального образования, утверждающих перечень мероприятий, в целях софинансирования которых предоставляется субсидия;</w:t>
      </w:r>
      <w:proofErr w:type="gramEnd"/>
    </w:p>
    <w:p w:rsidR="002C2400" w:rsidRDefault="002C2400">
      <w:pPr>
        <w:pStyle w:val="ConsPlusNormal"/>
        <w:spacing w:before="220"/>
        <w:ind w:firstLine="540"/>
        <w:jc w:val="both"/>
      </w:pPr>
      <w:r>
        <w:t>б) при наличии заключенного Соглашения о предоставлении субсидии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предоставляется субсидия (далее - Соглашение), и ответственность за невыполнение предусмотренных указанным Соглашением обязательств.</w:t>
      </w:r>
    </w:p>
    <w:p w:rsidR="002C2400" w:rsidRDefault="002C2400">
      <w:pPr>
        <w:pStyle w:val="ConsPlusNormal"/>
        <w:spacing w:before="220"/>
        <w:ind w:firstLine="540"/>
        <w:jc w:val="both"/>
      </w:pPr>
      <w:proofErr w:type="gramStart"/>
      <w:r>
        <w:t xml:space="preserve">Если за счет средств субсидий заказчиками (за исключением автономных учреждений)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</w:t>
      </w:r>
      <w:hyperlink r:id="rId6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и</w:t>
      </w:r>
      <w:proofErr w:type="gramEnd"/>
      <w:r>
        <w:t xml:space="preserve">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2C2400" w:rsidRDefault="002C2400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Закупки товаров, работ, услуг за счет средств субсидий в соответствии с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 xml:space="preserve"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</w:t>
      </w:r>
      <w:hyperlink r:id="rId8">
        <w:r>
          <w:rPr>
            <w:color w:val="0000FF"/>
          </w:rPr>
          <w:t>Законом</w:t>
        </w:r>
      </w:hyperlink>
      <w:r>
        <w:t xml:space="preserve"> N 223-ФЗ в целях реализации заказчиком за счет средств субсидии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 xml:space="preserve">6. Размер Субсидии, предоставляемой бюджетам муниципальных образований, определяется в соответствии с постановлением Правительства Мурманской области о выделении средств из резервного фонда Правительства Мурманской области на цели, указанные в </w:t>
      </w:r>
      <w:hyperlink w:anchor="P14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7. Предоставление Субсидии бюджету муниципального образования осуществляется на основании Соглашения, заключенного между Министерством и администрацией муниципального образования в программном комплексе "Реестр соглашений" электронной системы "Web-Бюджет" в соответствии с типовой формой, утвержденной Министерством финансов Мурманской области (далее - программный комплекс).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 xml:space="preserve">Представление отчетности в Министерство, предусмотренной </w:t>
      </w:r>
      <w:hyperlink w:anchor="P39">
        <w:r>
          <w:rPr>
            <w:color w:val="0000FF"/>
          </w:rPr>
          <w:t>пунктом 16</w:t>
        </w:r>
      </w:hyperlink>
      <w:r>
        <w:t xml:space="preserve"> настоящих Правил, осуществляется муниципальными образованиями посредством программного комплекса.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 xml:space="preserve">8. Соглашение должно содержать положения, установленные </w:t>
      </w:r>
      <w:hyperlink r:id="rId9">
        <w:r>
          <w:rPr>
            <w:color w:val="0000FF"/>
          </w:rPr>
          <w:t>пунктом 7</w:t>
        </w:r>
      </w:hyperlink>
      <w:r>
        <w:t xml:space="preserve"> Правил формирования, предоставления и распределения субсидии из областного бюджета местным бюджетам Мурманской области, утвержденных постановлением Правительства Мурманской области от 05.09.2011 N 445-ПП (далее - Правила N 445-ПП).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Заключение Соглашения о предоставлении субсидии местным бюджетам из областного бюджета на срок, превышающий срок действия утвержденных лимитов бюджетных обязательств, осуществляется в случаях, предусмотренных нормативными правовыми актами Правительства Мурманской области, в пределах средств и на сроки, которые установлены указанными актами.</w:t>
      </w:r>
    </w:p>
    <w:p w:rsidR="002C2400" w:rsidRDefault="002C2400">
      <w:pPr>
        <w:pStyle w:val="ConsPlusNormal"/>
        <w:spacing w:before="220"/>
        <w:ind w:firstLine="540"/>
        <w:jc w:val="both"/>
      </w:pPr>
      <w:proofErr w:type="gramStart"/>
      <w:r>
        <w:t>В случае внесения изменений в постановление Правительства Мурманской области о выделении средств резервного фонда Правительства Мурманской области муниципальному образованию на проведение ремонтных работ в пустующих жилых помещениях</w:t>
      </w:r>
      <w:proofErr w:type="gramEnd"/>
      <w:r>
        <w:t>, предусматривающих уточнение в соответствующем финансовом году объемов бюджетных ассигнований на предоставление субсидии, в Соглашение вносятся соответствующие изменения.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9. При заключении Соглашения уполномоченными органами местного самоуправления муниципальных образований в соответствующем разделе программного комплекса прикрепляется отчет об исполнении условий предоставления субсидии по форме, установленной Министерством.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Министерством может устанавливаться дополнительный перечень необходимых документов и формы отчетности.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 xml:space="preserve">10. Уровень софинансирования расходного обязательства муниципального образования устанавливается в размере, не превышающем предельный уровень софинансирования из областного бюджета, определенный в соответствии с </w:t>
      </w:r>
      <w:hyperlink r:id="rId10">
        <w:r>
          <w:rPr>
            <w:color w:val="0000FF"/>
          </w:rPr>
          <w:t>Порядком</w:t>
        </w:r>
      </w:hyperlink>
      <w:r>
        <w:t xml:space="preserve"> определения и установления </w:t>
      </w:r>
      <w:r>
        <w:lastRenderedPageBreak/>
        <w:t xml:space="preserve">предельного уровня софинансирования из областного бюджета расходного обязательства муниципального образования </w:t>
      </w:r>
      <w:hyperlink r:id="rId11">
        <w:r>
          <w:rPr>
            <w:color w:val="0000FF"/>
          </w:rPr>
          <w:t>Правил</w:t>
        </w:r>
      </w:hyperlink>
      <w:r>
        <w:t xml:space="preserve"> N 445-ПП.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В случае предоставления субсидии в целях софинансирования расходного обязательства муниципального образования, предусматривающего реализацию более одного мероприятия, возможно установление в Соглашении различных уровней софинансирования расходного обязательства муниципального образования из областного бюджета по отдельным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образования, утвержденным Правительством Мурманской области.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11. В случае внесения в муниципальные программы и мероприятия в указанных программах изменений, которые влекут изменения объемов финансового обеспечения и (или) показателей результативности и (или) изменение состава мероприятий, в целях софинансирования которых предоставляется субсидия, муниципальное образование обеспечивает согласование соответствующих изменений с Министерством.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Увеличение размера средств местных бюджетов, направляемых на реализацию мероприятий, в целях софинансирования которых предоставляется субсидия, не влечет обязательства областного бюджета по увеличению размера предоставляемой субсидии.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12. Размер предоставляемой субсидии не может превышать объем заявленной муниципальным образованием потребности.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софинансирования которого предоставляется субсидия, то уровень софинансирования,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  <w:proofErr w:type="gramEnd"/>
    </w:p>
    <w:p w:rsidR="002C2400" w:rsidRDefault="002C2400">
      <w:pPr>
        <w:pStyle w:val="ConsPlusNormal"/>
        <w:spacing w:before="220"/>
        <w:ind w:firstLine="540"/>
        <w:jc w:val="both"/>
      </w:pPr>
      <w:r>
        <w:t>14. Субсидия перечисляется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субсидии.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15. Показателями результативности использования субсидии является достижение установленных Соглашением показателей, а именно количество отремонтированных жилых помещений и количество отремонтированных жилых помещений, предоставленных гражданам.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Министерство осуществляет оценку результативности использования субсидии на основании сравнения значения показателя, установленного Соглашением, и фактически достигнутого показателя, на основании отчетных данных, представленных муниципальным образованием по итогам реализации мероприятия, по форме и срокам, установленным Соглашением.</w:t>
      </w:r>
    </w:p>
    <w:p w:rsidR="002C2400" w:rsidRDefault="002C2400">
      <w:pPr>
        <w:pStyle w:val="ConsPlusNormal"/>
        <w:spacing w:before="220"/>
        <w:ind w:firstLine="540"/>
        <w:jc w:val="both"/>
      </w:pPr>
      <w:bookmarkStart w:id="1" w:name="P39"/>
      <w:bookmarkEnd w:id="1"/>
      <w:r>
        <w:t>16. Уполномоченный орган местного самоуправления муниципального образования ежемесячно представляет в Министерство до 5-го числа месяца, следующего за отчетным (начиная с месяца, следующего за месяцем подписания Соглашения), по форме, утверждаемой Министерством: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- отчетность об осуществлении расходов местного бюджета, в целях софинансирования которых предоставляется субсидия;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 xml:space="preserve">- отчетность о достижении </w:t>
      </w:r>
      <w:proofErr w:type="gramStart"/>
      <w:r>
        <w:t xml:space="preserve">значений показателей результативности предоставления </w:t>
      </w:r>
      <w:r>
        <w:lastRenderedPageBreak/>
        <w:t>субсидии</w:t>
      </w:r>
      <w:proofErr w:type="gramEnd"/>
      <w:r>
        <w:t>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17. Не использованные на 1 января текущего финансового года средства субсидии подлежат возврату в доход областного бюджета.</w:t>
      </w:r>
    </w:p>
    <w:p w:rsidR="002C2400" w:rsidRDefault="002C2400">
      <w:pPr>
        <w:pStyle w:val="ConsPlusNormal"/>
        <w:spacing w:before="220"/>
        <w:ind w:firstLine="540"/>
        <w:jc w:val="both"/>
      </w:pPr>
      <w:proofErr w:type="gramStart"/>
      <w:r>
        <w:t>В соответствии с решением Министерства о наличии потребности в средствах субсидии, не использованных в отчетном финансовом году, согласованным с Министерством финансов Мурманской области, средства в объеме, не превышающем остатка субсидии,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указанной субсидии.</w:t>
      </w:r>
      <w:proofErr w:type="gramEnd"/>
    </w:p>
    <w:p w:rsidR="002C2400" w:rsidRDefault="002C2400">
      <w:pPr>
        <w:pStyle w:val="ConsPlusNormal"/>
        <w:spacing w:before="220"/>
        <w:ind w:firstLine="540"/>
        <w:jc w:val="both"/>
      </w:pPr>
      <w:r>
        <w:t>В случае если неиспользованный остаток средств субсидии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Потребность в неиспользованных остатках средств субсидии, перечисление которой осуществлялось в отчетном финансовом году в пределах суммы, необходимой для оплаты денежных обязательств под фактическую потребность, определяется в текущем финансовом году в соответствии с решением Министерства.</w:t>
      </w:r>
    </w:p>
    <w:p w:rsidR="002C2400" w:rsidRDefault="002C2400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перечисление субсидии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 основании обращения, представленного Министерством в Министерство финансов Мурманской области.</w:t>
      </w:r>
      <w:proofErr w:type="gramEnd"/>
    </w:p>
    <w:p w:rsidR="002C2400" w:rsidRDefault="002C2400">
      <w:pPr>
        <w:pStyle w:val="ConsPlusNormal"/>
        <w:spacing w:before="220"/>
        <w:ind w:firstLine="540"/>
        <w:jc w:val="both"/>
      </w:pPr>
      <w:bookmarkStart w:id="2" w:name="P47"/>
      <w:bookmarkEnd w:id="2"/>
      <w:r>
        <w:t xml:space="preserve">18. В случае если в отчетном финансовом году муниципальным образованием допущены нарушения обязательств по достижению значений показателя "количество отремонтированных жилых помещений", то объем средств, подлежащий возврату в областной бюджет в срок до 1 июня года, следующего за годом предоставления субсидии, определяется в соответствии с </w:t>
      </w:r>
      <w:hyperlink r:id="rId12">
        <w:r>
          <w:rPr>
            <w:color w:val="0000FF"/>
          </w:rPr>
          <w:t>пунктом 12</w:t>
        </w:r>
      </w:hyperlink>
      <w:r>
        <w:t xml:space="preserve"> Правил N 445-ПП.</w:t>
      </w:r>
    </w:p>
    <w:p w:rsidR="002C2400" w:rsidRDefault="002C2400">
      <w:pPr>
        <w:pStyle w:val="ConsPlusNormal"/>
        <w:spacing w:before="220"/>
        <w:ind w:firstLine="540"/>
        <w:jc w:val="both"/>
      </w:pPr>
      <w:bookmarkStart w:id="3" w:name="P48"/>
      <w:bookmarkEnd w:id="3"/>
      <w:r>
        <w:t xml:space="preserve">19. </w:t>
      </w:r>
      <w:proofErr w:type="gramStart"/>
      <w:r>
        <w:t>В случае если в отчетном финансовом году муниципальным образованием допущены нарушения обязательств по достижению значений показателя "количество отремонтированных жилых помещений, предоставленных гражданам", а именно если отремонтированные в рамках субсидии жилые помещения в течение шести месяцев после перечисления средств субсидии на оплату денежных обязательств, возникших по факту завершения ремонтных работ данных жилых помещений, не будут предоставлены гражданам, средства субсидии подлежат возврату</w:t>
      </w:r>
      <w:proofErr w:type="gramEnd"/>
      <w:r>
        <w:t xml:space="preserve"> в доход областного бюджета в объеме средств, израсходованных на ремонт непредоставленных квартир.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 xml:space="preserve">20. Основанием для освобождения муниципальных образований от применения мер ответственности, предусмотренных </w:t>
      </w:r>
      <w:hyperlink w:anchor="P47">
        <w:r>
          <w:rPr>
            <w:color w:val="0000FF"/>
          </w:rPr>
          <w:t>пунктами 18</w:t>
        </w:r>
      </w:hyperlink>
      <w:r>
        <w:t xml:space="preserve">, </w:t>
      </w:r>
      <w:hyperlink w:anchor="P48">
        <w:r>
          <w:rPr>
            <w:color w:val="0000FF"/>
          </w:rPr>
          <w:t>19</w:t>
        </w:r>
      </w:hyperlink>
      <w:r>
        <w:t xml:space="preserve"> настоящих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обязательств, установленных </w:t>
      </w:r>
      <w:hyperlink r:id="rId13">
        <w:r>
          <w:rPr>
            <w:color w:val="0000FF"/>
          </w:rPr>
          <w:t>пунктом 14</w:t>
        </w:r>
      </w:hyperlink>
      <w:r>
        <w:t xml:space="preserve"> Правил N 445-ПП.</w:t>
      </w:r>
    </w:p>
    <w:p w:rsidR="002C2400" w:rsidRDefault="002C2400">
      <w:pPr>
        <w:pStyle w:val="ConsPlusNormal"/>
        <w:spacing w:before="220"/>
        <w:ind w:firstLine="540"/>
        <w:jc w:val="both"/>
      </w:pPr>
      <w:proofErr w:type="gramStart"/>
      <w:r>
        <w:t xml:space="preserve">В случае отсутствия оснований для освобождения муниципальных образований от применения мер ответственности, предусмотренных </w:t>
      </w:r>
      <w:hyperlink w:anchor="P47">
        <w:r>
          <w:rPr>
            <w:color w:val="0000FF"/>
          </w:rPr>
          <w:t>пунктами 18</w:t>
        </w:r>
      </w:hyperlink>
      <w:r>
        <w:t xml:space="preserve">, </w:t>
      </w:r>
      <w:hyperlink w:anchor="P48">
        <w:r>
          <w:rPr>
            <w:color w:val="0000FF"/>
          </w:rPr>
          <w:t>19</w:t>
        </w:r>
      </w:hyperlink>
      <w:r>
        <w:t xml:space="preserve"> настоящих Правил, Министерство не позднее 30-го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направляет главе администрации муниципального образования требование по возврату из местного бюджета в областной бюджет</w:t>
      </w:r>
      <w:proofErr w:type="gramEnd"/>
      <w:r>
        <w:t xml:space="preserve"> объема средств, рассчитанного в соответствии с </w:t>
      </w:r>
      <w:hyperlink w:anchor="P47">
        <w:r>
          <w:rPr>
            <w:color w:val="0000FF"/>
          </w:rPr>
          <w:t>пунктами 18</w:t>
        </w:r>
      </w:hyperlink>
      <w:r>
        <w:t xml:space="preserve">, </w:t>
      </w:r>
      <w:hyperlink w:anchor="P48">
        <w:r>
          <w:rPr>
            <w:color w:val="0000FF"/>
          </w:rPr>
          <w:t>19</w:t>
        </w:r>
      </w:hyperlink>
      <w:r>
        <w:t xml:space="preserve"> настоящих Правил, с указанием </w:t>
      </w:r>
      <w:r>
        <w:lastRenderedPageBreak/>
        <w:t>сумм, подлежащих возврату, средств и сроков их возврата.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 xml:space="preserve">21. </w:t>
      </w:r>
      <w:proofErr w:type="gramStart"/>
      <w:r>
        <w:t xml:space="preserve">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r:id="rId14">
        <w:r>
          <w:rPr>
            <w:color w:val="0000FF"/>
          </w:rPr>
          <w:t>подпунктом 4 пункта 7</w:t>
        </w:r>
      </w:hyperlink>
      <w:r>
        <w:t xml:space="preserve"> Правил N 445-ПП, объем средств, подлежащий возврату из местного бюджета в областной бюджет в срок до 1 июня года, следующего за годом предоставления субсидии, определяется в соответствии с </w:t>
      </w:r>
      <w:hyperlink r:id="rId15">
        <w:r>
          <w:rPr>
            <w:color w:val="0000FF"/>
          </w:rPr>
          <w:t>пунктом 16</w:t>
        </w:r>
      </w:hyperlink>
      <w:r>
        <w:t xml:space="preserve"> Правил N 445-ПП.</w:t>
      </w:r>
      <w:proofErr w:type="gramEnd"/>
    </w:p>
    <w:p w:rsidR="002C2400" w:rsidRDefault="002C2400">
      <w:pPr>
        <w:pStyle w:val="ConsPlusNormal"/>
        <w:spacing w:before="220"/>
        <w:ind w:firstLine="540"/>
        <w:jc w:val="both"/>
      </w:pPr>
      <w:r>
        <w:t>22. Средства субсидии носят целевой характер и не могут быть использованы на другие цели.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23. Муниципальное образование несет ответственность за целевое и эффективное использование субсидии, за нарушение условий, установленных настоящими Правилами, за достоверность сведений, предоставляемых в Министерство, подтверждающих целевое использование субсидии.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>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2C2400" w:rsidRDefault="002C2400">
      <w:pPr>
        <w:pStyle w:val="ConsPlusNormal"/>
        <w:spacing w:before="220"/>
        <w:ind w:firstLine="540"/>
        <w:jc w:val="both"/>
      </w:pPr>
      <w:r>
        <w:t xml:space="preserve">24. </w:t>
      </w:r>
      <w:proofErr w:type="gramStart"/>
      <w:r>
        <w:t>Контроль за</w:t>
      </w:r>
      <w:proofErr w:type="gramEnd"/>
      <w:r>
        <w:t xml:space="preserve"> соблюдением получателями субсидии условий, целей и порядка, установленных при их предоставлении, осуществляется Министерством и органами государственного финансового контроля Мурманской области.</w:t>
      </w:r>
    </w:p>
    <w:p w:rsidR="002C2400" w:rsidRDefault="002C2400">
      <w:pPr>
        <w:pStyle w:val="ConsPlusNormal"/>
        <w:jc w:val="both"/>
      </w:pPr>
    </w:p>
    <w:p w:rsidR="002C2400" w:rsidRDefault="002C2400">
      <w:pPr>
        <w:pStyle w:val="ConsPlusNormal"/>
        <w:jc w:val="both"/>
      </w:pPr>
    </w:p>
    <w:p w:rsidR="002C2400" w:rsidRDefault="002C2400">
      <w:pPr>
        <w:pStyle w:val="ConsPlusNormal"/>
        <w:jc w:val="both"/>
      </w:pPr>
    </w:p>
    <w:p w:rsidR="002C2400" w:rsidRDefault="002C2400">
      <w:pPr>
        <w:pStyle w:val="ConsPlusNormal"/>
        <w:jc w:val="both"/>
      </w:pPr>
    </w:p>
    <w:p w:rsidR="002C2400" w:rsidRDefault="002C2400">
      <w:pPr>
        <w:pStyle w:val="ConsPlusNormal"/>
        <w:jc w:val="both"/>
      </w:pPr>
    </w:p>
    <w:p w:rsidR="002C2400" w:rsidRDefault="002C2400">
      <w:pPr>
        <w:pStyle w:val="ConsPlusNormal"/>
      </w:pPr>
      <w:hyperlink r:id="rId16">
        <w:r>
          <w:rPr>
            <w:i/>
            <w:color w:val="0000FF"/>
          </w:rPr>
          <w:br/>
          <w:t>{Постановление Правительства Мурманской области от 13.11.2020 N 795-ПП (ред. от 07.08.2023) "О государственной программе Мурманской области "Комфортное жилье и городская среда" {КонсультантПлюс}}</w:t>
        </w:r>
      </w:hyperlink>
      <w:r>
        <w:br/>
      </w:r>
    </w:p>
    <w:p w:rsidR="00E0270C" w:rsidRDefault="00E0270C">
      <w:bookmarkStart w:id="4" w:name="_GoBack"/>
      <w:bookmarkEnd w:id="4"/>
    </w:p>
    <w:sectPr w:rsidR="00E0270C" w:rsidSect="001E6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00"/>
    <w:rsid w:val="002C2400"/>
    <w:rsid w:val="00E0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4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C24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24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C24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36B8F4DCF5BBE1E2AA622E93E86A83ACF36D7E1DB9926443817881A614B88F0AB4FF81914F6A6AAFCA33F1FENAqFL" TargetMode="External"/><Relationship Id="rId13" Type="http://schemas.openxmlformats.org/officeDocument/2006/relationships/hyperlink" Target="consultantplus://offline/ref=2B36B8F4DCF5BBE1E2AA7C2385843486AFFD30701CB39D301DDD7ED6F944BEDA58F4A1D8D30B796BA7D432F6FBA767184A1550DAA3DDBC58E1B08B51N5q9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B36B8F4DCF5BBE1E2AA622E93E86A83ACF36D741BB6926443817881A614B88F0AB4FF81914F6A6AAFCA33F1FENAqFL" TargetMode="External"/><Relationship Id="rId12" Type="http://schemas.openxmlformats.org/officeDocument/2006/relationships/hyperlink" Target="consultantplus://offline/ref=2B36B8F4DCF5BBE1E2AA7C2385843486AFFD30701CB39D301DDD7ED6F944BEDA58F4A1D8D30B796BA7D432F1F9A767184A1550DAA3DDBC58E1B08B51N5q9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B36B8F4DCF5BBE1E2AA7C2385843486AFFD30701CB39C301FDD7ED6F944BEDA58F4A1D8D30B796BA4D030F8FBA767184A1550DAA3DDBC58E1B08B51N5q9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B36B8F4DCF5BBE1E2AA622E93E86A83ACF36A7D1DB1926443817881A614B88F18B4A78E984A7F3EF69064FCFDAC2D49065E5FDBA1NCq0L" TargetMode="External"/><Relationship Id="rId11" Type="http://schemas.openxmlformats.org/officeDocument/2006/relationships/hyperlink" Target="consultantplus://offline/ref=2B36B8F4DCF5BBE1E2AA7C2385843486AFFD30701CB39D301DDD7ED6F944BEDA58F4A1D8D30B796BA7D433F5FBA767184A1550DAA3DDBC58E1B08B51N5q9L" TargetMode="External"/><Relationship Id="rId5" Type="http://schemas.openxmlformats.org/officeDocument/2006/relationships/hyperlink" Target="consultantplus://offline/ref=2B36B8F4DCF5BBE1E2AA7C2385843486AFFD30701CB3983B1ADD7ED6F944BEDA58F4A1D8D30B796BA7D431F1F9A767184A1550DAA3DDBC58E1B08B51N5q9L" TargetMode="External"/><Relationship Id="rId15" Type="http://schemas.openxmlformats.org/officeDocument/2006/relationships/hyperlink" Target="consultantplus://offline/ref=2B36B8F4DCF5BBE1E2AA7C2385843486AFFD30701CB39D301DDD7ED6F944BEDA58F4A1D8D30B796BA7D432F9F9A767184A1550DAA3DDBC58E1B08B51N5q9L" TargetMode="External"/><Relationship Id="rId10" Type="http://schemas.openxmlformats.org/officeDocument/2006/relationships/hyperlink" Target="consultantplus://offline/ref=2B36B8F4DCF5BBE1E2AA7C2385843486AFFD30701CB39D301DDD7ED6F944BEDA58F4A1D8D30B796BA7D433F0F4A767184A1550DAA3DDBC58E1B08B51N5q9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36B8F4DCF5BBE1E2AA7C2385843486AFFD30701CB39D301DDD7ED6F944BEDA58F4A1D8D30B796BA7D432F5FAA767184A1550DAA3DDBC58E1B08B51N5q9L" TargetMode="External"/><Relationship Id="rId14" Type="http://schemas.openxmlformats.org/officeDocument/2006/relationships/hyperlink" Target="consultantplus://offline/ref=2B36B8F4DCF5BBE1E2AA7C2385843486AFFD30701CB39D301DDD7ED6F944BEDA58F4A1D8D30B796BA7D432F4FFA767184A1550DAA3DDBC58E1B08B51N5q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2488</Words>
  <Characters>14184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16639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Поддубная А.В.</dc:creator>
  <cp:lastModifiedBy>Поддубная А.В.</cp:lastModifiedBy>
  <cp:revision>1</cp:revision>
  <dcterms:created xsi:type="dcterms:W3CDTF">2023-08-10T11:42:00Z</dcterms:created>
  <dcterms:modified xsi:type="dcterms:W3CDTF">2023-08-10T11:43:00Z</dcterms:modified>
</cp:coreProperties>
</file>